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A" w:rsidRPr="0009712A" w:rsidRDefault="0009712A" w:rsidP="0009712A">
      <w:pPr>
        <w:shd w:val="clear" w:color="auto" w:fill="FFFFFF"/>
        <w:spacing w:after="0" w:line="402" w:lineRule="atLeast"/>
        <w:outlineLvl w:val="0"/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</w:pPr>
      <w:r w:rsidRPr="0009712A">
        <w:rPr>
          <w:rFonts w:ascii="Arial" w:eastAsia="Times New Roman" w:hAnsi="Arial" w:cs="Arial"/>
          <w:color w:val="252525"/>
          <w:kern w:val="36"/>
          <w:sz w:val="30"/>
          <w:szCs w:val="30"/>
          <w:lang w:eastAsia="ru-RU"/>
        </w:rPr>
        <w:t>Памятка об ответственности за действия, связанные с незаконным оборотом наркотических средств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26 мая 2022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b/>
          <w:bCs/>
          <w:color w:val="252525"/>
          <w:sz w:val="32"/>
          <w:lang w:eastAsia="ru-RU"/>
        </w:rPr>
        <w:t>Памятка об ответственности за действия, связанные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b/>
          <w:bCs/>
          <w:color w:val="252525"/>
          <w:sz w:val="32"/>
          <w:lang w:eastAsia="ru-RU"/>
        </w:rPr>
        <w:t>с незаконным оборотом наркотических средств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Федерации, которая предусматривает наказание до 15 лет</w:t>
      </w:r>
      <w:proofErr w:type="gram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лишения свободы.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  <w:proofErr w:type="gramEnd"/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к уголовной ответственности по статье 229 Уголовного кодекса Российской Федерации, предусматривающей наказание до двадцати лет лишения свободы.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За перемещение наркотических средств, психотропных веществ, их </w:t>
      </w:r>
      <w:proofErr w:type="spell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прекурсоров</w:t>
      </w:r>
      <w:proofErr w:type="spell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прекурсоры</w:t>
      </w:r>
      <w:proofErr w:type="spell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либо их частей, </w:t>
      </w: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содержащих наркотические средства, психотропные вещества или их </w:t>
      </w:r>
      <w:proofErr w:type="spell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прекурсоры</w:t>
      </w:r>
      <w:proofErr w:type="spell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ЕврАзЭС</w:t>
      </w:r>
      <w:proofErr w:type="spell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либо Государственную границу Российской Федерации с</w:t>
      </w:r>
      <w:proofErr w:type="gram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государствами - членами Таможенного союза в рамках </w:t>
      </w:r>
      <w:proofErr w:type="spellStart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ЕврАзЭС</w:t>
      </w:r>
      <w:proofErr w:type="spellEnd"/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лица привлекаются к уголовной ответственности по статье 229.1 Уголовного кодекса Российской Федерации, которая предусматривает наказание до пожизненного лишения свободы.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кодекса Российской Федерации, которая предусматривает наказание до пятнадцати лет лишения свободы.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до семи лет лишения свободы.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Напоминаем: незнание закона не освобождает от ответственности!</w:t>
      </w:r>
    </w:p>
    <w:p w:rsidR="0009712A" w:rsidRPr="0009712A" w:rsidRDefault="0009712A" w:rsidP="0009712A">
      <w:pPr>
        <w:shd w:val="clear" w:color="auto" w:fill="FFFFFF"/>
        <w:spacing w:after="201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09712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:rsidR="00DC28EF" w:rsidRDefault="0009712A" w:rsidP="0009712A">
      <w:r w:rsidRPr="0009712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09712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09712A">
        <w:rPr>
          <w:rFonts w:ascii="Arial" w:eastAsia="Times New Roman" w:hAnsi="Arial" w:cs="Arial"/>
          <w:color w:val="252525"/>
          <w:sz w:val="23"/>
          <w:szCs w:val="23"/>
          <w:shd w:val="clear" w:color="auto" w:fill="FFFFFF"/>
          <w:lang w:eastAsia="ru-RU"/>
        </w:rPr>
        <w:t>- Все подробности: https://kamgov.ru/smr/news/pamatka-ob-otvetstvennosti-za-dejstvia-svazannye-s-nezakonnym-oborotom-narkoticeskih-sredstv-51692</w:t>
      </w:r>
    </w:p>
    <w:sectPr w:rsidR="00DC28EF" w:rsidSect="00DC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12A"/>
    <w:rsid w:val="0009712A"/>
    <w:rsid w:val="00D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F"/>
  </w:style>
  <w:style w:type="paragraph" w:styleId="1">
    <w:name w:val="heading 1"/>
    <w:basedOn w:val="a"/>
    <w:link w:val="10"/>
    <w:uiPriority w:val="9"/>
    <w:qFormat/>
    <w:rsid w:val="0009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9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2023-02-12T12:30:00Z</dcterms:created>
  <dcterms:modified xsi:type="dcterms:W3CDTF">2023-02-12T12:31:00Z</dcterms:modified>
</cp:coreProperties>
</file>